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9E5">
              <w:rPr>
                <w:rFonts w:ascii="Arial" w:hAnsi="Arial" w:cs="Arial"/>
                <w:sz w:val="20"/>
                <w:szCs w:val="20"/>
              </w:rPr>
              <w:t>15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9D7C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E19E5">
              <w:rPr>
                <w:rFonts w:ascii="Arial" w:hAnsi="Arial" w:cs="Arial"/>
                <w:sz w:val="20"/>
                <w:szCs w:val="20"/>
              </w:rPr>
              <w:t>04 .10</w:t>
            </w:r>
            <w:r w:rsidR="00F32C14">
              <w:rPr>
                <w:rFonts w:ascii="Arial" w:hAnsi="Arial" w:cs="Arial"/>
                <w:sz w:val="20"/>
                <w:szCs w:val="20"/>
              </w:rPr>
              <w:t>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250"/>
        <w:gridCol w:w="5066"/>
        <w:gridCol w:w="4573"/>
        <w:gridCol w:w="11"/>
      </w:tblGrid>
      <w:tr w:rsidR="00250B4E" w:rsidRPr="003715C6" w:rsidTr="00FE19E5">
        <w:trPr>
          <w:trHeight w:val="253"/>
          <w:jc w:val="center"/>
        </w:trPr>
        <w:tc>
          <w:tcPr>
            <w:tcW w:w="9900" w:type="dxa"/>
            <w:gridSpan w:val="4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FE19E5">
        <w:trPr>
          <w:trHeight w:val="430"/>
          <w:jc w:val="center"/>
        </w:trPr>
        <w:tc>
          <w:tcPr>
            <w:tcW w:w="9900" w:type="dxa"/>
            <w:gridSpan w:val="4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5416BF" w:rsidRPr="005416BF" w:rsidTr="00FE19E5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5066" w:type="dxa"/>
            <w:vAlign w:val="bottom"/>
          </w:tcPr>
          <w:p w:rsidR="005416BF" w:rsidRPr="005416BF" w:rsidRDefault="00FE19E5" w:rsidP="0040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октября </w:t>
            </w:r>
            <w:r w:rsidR="005416BF" w:rsidRPr="005416BF">
              <w:rPr>
                <w:rFonts w:ascii="Arial" w:hAnsi="Arial" w:cs="Arial"/>
                <w:sz w:val="16"/>
                <w:szCs w:val="16"/>
              </w:rPr>
              <w:t xml:space="preserve">2023 года             </w:t>
            </w:r>
          </w:p>
        </w:tc>
        <w:tc>
          <w:tcPr>
            <w:tcW w:w="4573" w:type="dxa"/>
            <w:vAlign w:val="bottom"/>
          </w:tcPr>
          <w:p w:rsidR="005416BF" w:rsidRPr="005416BF" w:rsidRDefault="005416BF" w:rsidP="004049AA">
            <w:pPr>
              <w:rPr>
                <w:rFonts w:ascii="Arial" w:hAnsi="Arial" w:cs="Arial"/>
                <w:sz w:val="16"/>
                <w:szCs w:val="16"/>
              </w:rPr>
            </w:pPr>
            <w:r w:rsidRPr="005416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№ </w:t>
            </w:r>
            <w:r w:rsidR="00FE19E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5416BF" w:rsidRPr="005416BF" w:rsidTr="00FE19E5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9639" w:type="dxa"/>
            <w:gridSpan w:val="2"/>
            <w:vAlign w:val="bottom"/>
          </w:tcPr>
          <w:p w:rsidR="005416BF" w:rsidRPr="005416BF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6BF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5416BF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5416BF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  <w:p w:rsidR="005416BF" w:rsidRPr="005416BF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>за  9 месяцев 2023 года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</w:p>
    <w:p w:rsidR="00FE19E5" w:rsidRPr="00FE19E5" w:rsidRDefault="00FE19E5" w:rsidP="00FE19E5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В соответствии со статьей 9 Бюджетного кодекса Российской Фед</w:t>
      </w:r>
      <w:r w:rsidRPr="00FE19E5">
        <w:rPr>
          <w:rFonts w:ascii="Arial" w:hAnsi="Arial" w:cs="Arial"/>
          <w:sz w:val="16"/>
          <w:szCs w:val="16"/>
        </w:rPr>
        <w:t>е</w:t>
      </w:r>
      <w:r w:rsidRPr="00FE19E5">
        <w:rPr>
          <w:rFonts w:ascii="Arial" w:hAnsi="Arial" w:cs="Arial"/>
          <w:sz w:val="16"/>
          <w:szCs w:val="16"/>
        </w:rPr>
        <w:t xml:space="preserve">рации </w:t>
      </w:r>
      <w:proofErr w:type="spellStart"/>
      <w:proofErr w:type="gramStart"/>
      <w:r w:rsidRPr="00FE19E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E19E5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E19E5">
        <w:rPr>
          <w:rFonts w:ascii="Arial" w:hAnsi="Arial" w:cs="Arial"/>
          <w:sz w:val="16"/>
          <w:szCs w:val="16"/>
        </w:rPr>
        <w:t>н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о в л я ю:</w:t>
      </w:r>
    </w:p>
    <w:p w:rsidR="00FE19E5" w:rsidRPr="00FE19E5" w:rsidRDefault="00FE19E5" w:rsidP="00FE19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E19E5">
        <w:rPr>
          <w:rFonts w:ascii="Arial" w:hAnsi="Arial" w:cs="Arial"/>
          <w:sz w:val="16"/>
          <w:szCs w:val="16"/>
        </w:rPr>
        <w:t xml:space="preserve">Утвердить Отчет об исполнении бюджета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за 9 месяцев 2023 года по доходам в сумме   29 449,0 (двадцать девять миллионов четыреста сорок девять тысяч) рублей, по расходам  29 367,6 (двадцать девять миллионов триста шестьдесят семь  тысяч шестьсот) рублей, </w:t>
      </w:r>
      <w:proofErr w:type="spellStart"/>
      <w:r w:rsidRPr="00FE19E5">
        <w:rPr>
          <w:rFonts w:ascii="Arial" w:hAnsi="Arial" w:cs="Arial"/>
          <w:sz w:val="16"/>
          <w:szCs w:val="16"/>
        </w:rPr>
        <w:t>профицит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бюджета 81,4 (восемьдесят одна тысяча четыреста) рублей согласно приложению № 1.</w:t>
      </w:r>
      <w:proofErr w:type="gramEnd"/>
    </w:p>
    <w:p w:rsidR="00FE19E5" w:rsidRPr="00FE19E5" w:rsidRDefault="00FE19E5" w:rsidP="00FE19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2.Утвердить отчет об использовании средств резервного фонда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за 9 месяцев 2023 года согласно приложению № 2.</w:t>
      </w:r>
    </w:p>
    <w:p w:rsidR="00FE19E5" w:rsidRPr="00FE19E5" w:rsidRDefault="00FE19E5" w:rsidP="00FE19E5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3. Утвердить отчет о численности муниципальных служащих, работников муниципальных учреждений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за 9 месяцев 2023 года согласно приложению № 3.</w:t>
      </w:r>
    </w:p>
    <w:p w:rsidR="00FE19E5" w:rsidRPr="00FE19E5" w:rsidRDefault="00FE19E5" w:rsidP="00FE19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4. Отчет об исполнении местного бюджета (бюджета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района) за 9 месяцев 2023 года направить в Совет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района.</w:t>
      </w:r>
    </w:p>
    <w:p w:rsidR="00FE19E5" w:rsidRPr="00FE19E5" w:rsidRDefault="00FE19E5" w:rsidP="00FE19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E19E5">
        <w:rPr>
          <w:rFonts w:ascii="Arial" w:hAnsi="Arial" w:cs="Arial"/>
          <w:sz w:val="16"/>
          <w:szCs w:val="16"/>
        </w:rPr>
        <w:t>Контроль за</w:t>
      </w:r>
      <w:proofErr w:type="gramEnd"/>
      <w:r w:rsidRPr="00FE19E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(Мягкову Н.Н.)</w:t>
      </w:r>
    </w:p>
    <w:p w:rsidR="00FE19E5" w:rsidRPr="00FE19E5" w:rsidRDefault="00FE19E5" w:rsidP="00FE19E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6. Постановление вступает в силу со дня его подписания и подлежит официальному опубликованию в Информационном бюллетене  «Вестник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района»</w:t>
      </w:r>
    </w:p>
    <w:p w:rsidR="00FE19E5" w:rsidRPr="00FE19E5" w:rsidRDefault="00FE19E5" w:rsidP="00FE19E5">
      <w:pPr>
        <w:jc w:val="both"/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jc w:val="both"/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И.о</w:t>
      </w:r>
      <w:proofErr w:type="gramStart"/>
      <w:r w:rsidRPr="00FE19E5">
        <w:rPr>
          <w:rFonts w:ascii="Arial" w:hAnsi="Arial" w:cs="Arial"/>
          <w:sz w:val="16"/>
          <w:szCs w:val="16"/>
        </w:rPr>
        <w:t>.г</w:t>
      </w:r>
      <w:proofErr w:type="gramEnd"/>
      <w:r w:rsidRPr="00FE19E5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</w:t>
      </w:r>
    </w:p>
    <w:p w:rsidR="00FE19E5" w:rsidRPr="00FE19E5" w:rsidRDefault="00FE19E5" w:rsidP="00FE19E5">
      <w:pPr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                                               </w:t>
      </w:r>
      <w:proofErr w:type="spellStart"/>
      <w:r w:rsidRPr="00FE19E5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FE19E5" w:rsidRPr="00FE19E5" w:rsidRDefault="00FE19E5" w:rsidP="00FE19E5">
      <w:pPr>
        <w:jc w:val="center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FE19E5" w:rsidRPr="00FE19E5" w:rsidRDefault="00FE19E5" w:rsidP="00FE19E5">
      <w:pPr>
        <w:jc w:val="center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E19E5" w:rsidRPr="00FE19E5" w:rsidRDefault="00FE19E5" w:rsidP="00FE19E5">
      <w:pPr>
        <w:jc w:val="center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</w:t>
      </w:r>
    </w:p>
    <w:p w:rsidR="00FE19E5" w:rsidRPr="00FE19E5" w:rsidRDefault="00FE19E5" w:rsidP="00FE19E5">
      <w:pPr>
        <w:jc w:val="center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02.10.2023 г. № 72                                                                                                                                     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>ОТЧЕТ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>за 9 месяцев 2023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992"/>
        <w:gridCol w:w="992"/>
        <w:gridCol w:w="992"/>
        <w:gridCol w:w="851"/>
      </w:tblGrid>
      <w:tr w:rsidR="00FE19E5" w:rsidRPr="00FE19E5" w:rsidTr="00701C73">
        <w:trPr>
          <w:trHeight w:val="1259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E19E5" w:rsidRPr="00FE19E5" w:rsidTr="00701C73">
        <w:trPr>
          <w:trHeight w:val="257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26 331,2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18 297,0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8 034,2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</w:tc>
      </w:tr>
      <w:tr w:rsidR="00FE19E5" w:rsidRPr="00FE19E5" w:rsidTr="00701C73">
        <w:trPr>
          <w:trHeight w:val="187"/>
        </w:trPr>
        <w:tc>
          <w:tcPr>
            <w:tcW w:w="266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10 878,0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8 534,9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2 343,1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FE19E5" w:rsidRPr="00FE19E5" w:rsidTr="00701C73">
        <w:trPr>
          <w:trHeight w:val="589"/>
        </w:trPr>
        <w:tc>
          <w:tcPr>
            <w:tcW w:w="266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7 811,6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6 578,1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1 233,5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</w:tr>
      <w:tr w:rsidR="00FE19E5" w:rsidRPr="00FE19E5" w:rsidTr="00701C73">
        <w:trPr>
          <w:trHeight w:val="359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652,3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     147,7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</w:tr>
      <w:tr w:rsidR="00FE19E5" w:rsidRPr="00FE19E5" w:rsidTr="00701C73">
        <w:trPr>
          <w:trHeight w:val="327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4 251,6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-79,1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4 330,7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365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184,5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615,5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FE19E5" w:rsidRPr="00FE19E5" w:rsidTr="00701C73">
        <w:trPr>
          <w:trHeight w:val="285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3 451,6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-263,6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3 715,2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252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1 09 00000 00 0000 000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585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FE19E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E19E5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1 006,0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1 026,4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</w:tr>
      <w:tr w:rsidR="00FE19E5" w:rsidRPr="00FE19E5" w:rsidTr="00701C73">
        <w:trPr>
          <w:trHeight w:val="504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1 584,0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1 584,3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19E5" w:rsidRPr="00FE19E5" w:rsidTr="00701C73">
        <w:trPr>
          <w:trHeight w:val="147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26 316,3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 xml:space="preserve">    11 152,0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15 164,3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42,4</w:t>
            </w:r>
          </w:p>
        </w:tc>
      </w:tr>
      <w:tr w:rsidR="00FE19E5" w:rsidRPr="00FE19E5" w:rsidTr="00701C73">
        <w:trPr>
          <w:trHeight w:val="522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26 316,3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11 160,3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15 156,0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</w:tr>
      <w:tr w:rsidR="00FE19E5" w:rsidRPr="00FE19E5" w:rsidTr="00701C73">
        <w:trPr>
          <w:trHeight w:val="450"/>
        </w:trPr>
        <w:tc>
          <w:tcPr>
            <w:tcW w:w="266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19E5" w:rsidRPr="00FE19E5" w:rsidTr="00701C73">
        <w:trPr>
          <w:trHeight w:val="363"/>
        </w:trPr>
        <w:tc>
          <w:tcPr>
            <w:tcW w:w="266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lastRenderedPageBreak/>
              <w:t>2 02 19999 10 0000 150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19E5" w:rsidRPr="00FE19E5" w:rsidTr="00701C73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14 852,1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6 670,2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8 181,9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</w:tr>
      <w:tr w:rsidR="00FE19E5" w:rsidRPr="00FE19E5" w:rsidTr="00701C73">
        <w:trPr>
          <w:trHeight w:val="303"/>
        </w:trPr>
        <w:tc>
          <w:tcPr>
            <w:tcW w:w="266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4 688,5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4 688,5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525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</w:t>
            </w:r>
            <w:r w:rsidRPr="00FE19E5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FE19E5">
              <w:rPr>
                <w:rFonts w:ascii="Arial" w:hAnsi="Arial" w:cs="Arial"/>
                <w:bCs/>
                <w:sz w:val="16"/>
                <w:szCs w:val="16"/>
              </w:rPr>
              <w:t>ществление первичного воинского учёта на территориях, где о</w:t>
            </w:r>
            <w:r w:rsidRPr="00FE19E5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E19E5">
              <w:rPr>
                <w:rFonts w:ascii="Arial" w:hAnsi="Arial" w:cs="Arial"/>
                <w:bCs/>
                <w:sz w:val="16"/>
                <w:szCs w:val="16"/>
              </w:rPr>
              <w:t>сутствуют военные комиссариаты</w:t>
            </w:r>
            <w:r w:rsidRPr="00FE19E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</w:tr>
      <w:tr w:rsidR="00FE19E5" w:rsidRPr="00FE19E5" w:rsidTr="00701C73">
        <w:trPr>
          <w:trHeight w:val="300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</w:t>
            </w:r>
            <w:r w:rsidRPr="00FE19E5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FE19E5">
              <w:rPr>
                <w:rFonts w:ascii="Arial" w:hAnsi="Arial" w:cs="Arial"/>
                <w:bCs/>
                <w:sz w:val="16"/>
                <w:szCs w:val="16"/>
              </w:rPr>
              <w:t>полнение передаваемых полномочий субъектов Российской Федерации</w:t>
            </w:r>
            <w:r w:rsidRPr="00FE19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455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-8,3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404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52 647,5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29 449,0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23 198,5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55,9</w:t>
            </w:r>
          </w:p>
        </w:tc>
      </w:tr>
      <w:tr w:rsidR="00FE19E5" w:rsidRPr="00FE19E5" w:rsidTr="00701C73">
        <w:trPr>
          <w:trHeight w:val="345"/>
        </w:trPr>
        <w:tc>
          <w:tcPr>
            <w:tcW w:w="2660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9E5" w:rsidRPr="00FE19E5" w:rsidTr="00701C73">
        <w:trPr>
          <w:trHeight w:val="144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FE19E5" w:rsidRPr="00FE19E5" w:rsidTr="00701C73">
        <w:trPr>
          <w:trHeight w:val="144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5 441,4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4 182,3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1 259,1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FE19E5" w:rsidRPr="00FE19E5" w:rsidTr="00701C73">
        <w:trPr>
          <w:trHeight w:val="583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19E5" w:rsidRPr="00FE19E5" w:rsidTr="00701C73">
        <w:trPr>
          <w:trHeight w:val="300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               0111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19E5" w:rsidRPr="00FE19E5" w:rsidTr="00701C73">
        <w:trPr>
          <w:trHeight w:val="455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5 489,6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4 369,1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1 120,5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FE19E5" w:rsidRPr="00FE19E5" w:rsidTr="00701C73">
        <w:trPr>
          <w:trHeight w:val="144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9E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</w:tr>
      <w:tr w:rsidR="00FE19E5" w:rsidRPr="00FE19E5" w:rsidTr="00701C73">
        <w:trPr>
          <w:trHeight w:val="189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6 049,1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4 191,3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FE19E5" w:rsidRPr="00FE19E5" w:rsidTr="00701C73">
        <w:trPr>
          <w:trHeight w:val="337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       10,0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37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17 788,8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8 292,9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9 495,9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FE19E5" w:rsidRPr="00FE19E5" w:rsidTr="00701C73">
        <w:trPr>
          <w:trHeight w:val="335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19E5" w:rsidRPr="00FE19E5" w:rsidTr="00701C73">
        <w:trPr>
          <w:trHeight w:val="274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13 692,0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5 670,2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8 021,7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</w:tr>
      <w:tr w:rsidR="00FE19E5" w:rsidRPr="00FE19E5" w:rsidTr="00701C73">
        <w:trPr>
          <w:trHeight w:val="265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9E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FE19E5" w:rsidRPr="00FE19E5" w:rsidTr="00701C73">
        <w:trPr>
          <w:trHeight w:val="222"/>
        </w:trPr>
        <w:tc>
          <w:tcPr>
            <w:tcW w:w="2660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19E5" w:rsidRPr="00FE19E5" w:rsidTr="00701C73">
        <w:trPr>
          <w:trHeight w:val="209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E19E5" w:rsidRPr="00FE19E5" w:rsidRDefault="00FE19E5" w:rsidP="00701C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53 933,5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29 367,6</w:t>
            </w:r>
          </w:p>
        </w:tc>
        <w:tc>
          <w:tcPr>
            <w:tcW w:w="992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24 565,9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54,5</w:t>
            </w:r>
          </w:p>
        </w:tc>
      </w:tr>
      <w:tr w:rsidR="00FE19E5" w:rsidRPr="00FE19E5" w:rsidTr="00701C73">
        <w:trPr>
          <w:trHeight w:val="254"/>
        </w:trPr>
        <w:tc>
          <w:tcPr>
            <w:tcW w:w="2660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FE19E5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FE19E5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E19E5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992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-1 286,0</w:t>
            </w:r>
          </w:p>
        </w:tc>
        <w:tc>
          <w:tcPr>
            <w:tcW w:w="992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81,4</w:t>
            </w:r>
          </w:p>
        </w:tc>
        <w:tc>
          <w:tcPr>
            <w:tcW w:w="992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Главный специалист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FE19E5" w:rsidRPr="00FE19E5" w:rsidRDefault="00FE19E5" w:rsidP="00FE19E5">
      <w:pPr>
        <w:rPr>
          <w:rFonts w:ascii="Arial" w:hAnsi="Arial" w:cs="Arial"/>
          <w:sz w:val="16"/>
          <w:szCs w:val="16"/>
          <w:lang w:eastAsia="ar-SA"/>
        </w:rPr>
      </w:pPr>
      <w:r w:rsidRPr="00FE19E5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Н.Н.Мягкова       </w:t>
      </w:r>
    </w:p>
    <w:p w:rsidR="00FE19E5" w:rsidRPr="00FE19E5" w:rsidRDefault="00FE19E5" w:rsidP="00FE19E5">
      <w:pPr>
        <w:jc w:val="both"/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Приложение № 2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к постановлению главы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от  02.10.2023 г.  № 72</w:t>
      </w:r>
    </w:p>
    <w:p w:rsidR="00FE19E5" w:rsidRPr="00FE19E5" w:rsidRDefault="00FE19E5" w:rsidP="00FE19E5">
      <w:pPr>
        <w:rPr>
          <w:rFonts w:ascii="Arial" w:hAnsi="Arial" w:cs="Arial"/>
          <w:b/>
          <w:sz w:val="16"/>
          <w:szCs w:val="16"/>
        </w:rPr>
      </w:pP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>за 9 месяцев 2023 года</w:t>
      </w:r>
    </w:p>
    <w:p w:rsidR="00FE19E5" w:rsidRPr="00FE19E5" w:rsidRDefault="00FE19E5" w:rsidP="00FE19E5">
      <w:pPr>
        <w:rPr>
          <w:rFonts w:ascii="Arial" w:hAnsi="Arial" w:cs="Arial"/>
          <w:b/>
          <w:sz w:val="16"/>
          <w:szCs w:val="16"/>
        </w:rPr>
      </w:pPr>
    </w:p>
    <w:p w:rsidR="00FE19E5" w:rsidRPr="00FE19E5" w:rsidRDefault="00FE19E5" w:rsidP="00FE19E5">
      <w:pPr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ab/>
        <w:t xml:space="preserve">В соответствии с Решением Совета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от 25.11.2022 г. № 39/253 «О бюджете </w:t>
      </w: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на 2023 год» предусмотрены средства резервного фонда в сумме 100,0 тыс. рублей.</w:t>
      </w:r>
    </w:p>
    <w:p w:rsidR="00FE19E5" w:rsidRPr="00FE19E5" w:rsidRDefault="00FE19E5" w:rsidP="00FE19E5">
      <w:pPr>
        <w:ind w:right="971"/>
        <w:jc w:val="both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ab/>
      </w:r>
      <w:r w:rsidRPr="00FE19E5">
        <w:rPr>
          <w:rFonts w:ascii="Arial" w:hAnsi="Arial" w:cs="Arial"/>
          <w:sz w:val="16"/>
          <w:szCs w:val="16"/>
        </w:rPr>
        <w:t>Из  резервного фонда за 9 месяцев  2023 года расходы не производились.</w:t>
      </w:r>
    </w:p>
    <w:p w:rsidR="00FE19E5" w:rsidRPr="00FE19E5" w:rsidRDefault="00FE19E5" w:rsidP="00FE19E5">
      <w:pPr>
        <w:rPr>
          <w:rFonts w:ascii="Arial" w:hAnsi="Arial" w:cs="Arial"/>
          <w:b/>
          <w:sz w:val="16"/>
          <w:szCs w:val="16"/>
        </w:rPr>
      </w:pPr>
    </w:p>
    <w:p w:rsidR="00FE19E5" w:rsidRPr="00FE19E5" w:rsidRDefault="00FE19E5" w:rsidP="00FE19E5">
      <w:pPr>
        <w:rPr>
          <w:rFonts w:ascii="Arial" w:hAnsi="Arial" w:cs="Arial"/>
          <w:b/>
          <w:sz w:val="16"/>
          <w:szCs w:val="16"/>
        </w:rPr>
      </w:pP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</w:t>
      </w:r>
    </w:p>
    <w:p w:rsidR="00FE19E5" w:rsidRPr="00FE19E5" w:rsidRDefault="00FE19E5" w:rsidP="00FE19E5">
      <w:pPr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       </w:t>
      </w:r>
      <w:r w:rsidRPr="00FE19E5">
        <w:rPr>
          <w:rFonts w:ascii="Arial" w:hAnsi="Arial" w:cs="Arial"/>
          <w:sz w:val="16"/>
          <w:szCs w:val="16"/>
        </w:rPr>
        <w:tab/>
      </w:r>
      <w:r w:rsidRPr="00FE19E5">
        <w:rPr>
          <w:rFonts w:ascii="Arial" w:hAnsi="Arial" w:cs="Arial"/>
          <w:sz w:val="16"/>
          <w:szCs w:val="16"/>
        </w:rPr>
        <w:tab/>
      </w:r>
      <w:r w:rsidRPr="00FE19E5">
        <w:rPr>
          <w:rFonts w:ascii="Arial" w:hAnsi="Arial" w:cs="Arial"/>
          <w:sz w:val="16"/>
          <w:szCs w:val="16"/>
        </w:rPr>
        <w:tab/>
      </w:r>
      <w:r w:rsidRPr="00FE19E5">
        <w:rPr>
          <w:rFonts w:ascii="Arial" w:hAnsi="Arial" w:cs="Arial"/>
          <w:sz w:val="16"/>
          <w:szCs w:val="16"/>
        </w:rPr>
        <w:tab/>
      </w:r>
      <w:r w:rsidRPr="00FE19E5">
        <w:rPr>
          <w:rFonts w:ascii="Arial" w:hAnsi="Arial" w:cs="Arial"/>
          <w:sz w:val="16"/>
          <w:szCs w:val="16"/>
        </w:rPr>
        <w:tab/>
      </w:r>
      <w:r w:rsidRPr="00FE19E5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Приложение № 3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</w:t>
      </w:r>
    </w:p>
    <w:p w:rsidR="00FE19E5" w:rsidRPr="00FE19E5" w:rsidRDefault="00FE19E5" w:rsidP="00FE19E5">
      <w:pPr>
        <w:ind w:left="5670"/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lastRenderedPageBreak/>
        <w:t>от  02.10.2023 г.  № 72</w:t>
      </w:r>
    </w:p>
    <w:p w:rsidR="00FE19E5" w:rsidRPr="00FE19E5" w:rsidRDefault="00FE19E5" w:rsidP="00FE19E5">
      <w:pPr>
        <w:rPr>
          <w:rFonts w:ascii="Arial" w:hAnsi="Arial" w:cs="Arial"/>
          <w:b/>
          <w:sz w:val="16"/>
          <w:szCs w:val="16"/>
        </w:rPr>
      </w:pP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E19E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b/>
          <w:sz w:val="16"/>
          <w:szCs w:val="16"/>
        </w:rPr>
        <w:t xml:space="preserve"> района </w:t>
      </w:r>
    </w:p>
    <w:p w:rsidR="00FE19E5" w:rsidRPr="00FE19E5" w:rsidRDefault="00FE19E5" w:rsidP="00FE19E5">
      <w:pPr>
        <w:jc w:val="center"/>
        <w:rPr>
          <w:rFonts w:ascii="Arial" w:hAnsi="Arial" w:cs="Arial"/>
          <w:b/>
          <w:sz w:val="16"/>
          <w:szCs w:val="16"/>
        </w:rPr>
      </w:pPr>
      <w:r w:rsidRPr="00FE19E5">
        <w:rPr>
          <w:rFonts w:ascii="Arial" w:hAnsi="Arial" w:cs="Arial"/>
          <w:b/>
          <w:sz w:val="16"/>
          <w:szCs w:val="16"/>
        </w:rPr>
        <w:t>за 9 месяцев 2023 года</w:t>
      </w:r>
    </w:p>
    <w:p w:rsidR="00FE19E5" w:rsidRPr="00FE19E5" w:rsidRDefault="00FE19E5" w:rsidP="00FE19E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FE19E5" w:rsidRPr="00FE19E5" w:rsidTr="00701C73">
        <w:tc>
          <w:tcPr>
            <w:tcW w:w="675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19E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E19E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E19E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E19E5" w:rsidRPr="00FE19E5" w:rsidTr="00701C73">
        <w:tc>
          <w:tcPr>
            <w:tcW w:w="675" w:type="dxa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FE19E5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FE19E5">
              <w:rPr>
                <w:rFonts w:ascii="Arial" w:hAnsi="Arial" w:cs="Arial"/>
                <w:b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835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3 843,4</w:t>
            </w:r>
          </w:p>
        </w:tc>
      </w:tr>
      <w:tr w:rsidR="00FE19E5" w:rsidRPr="00FE19E5" w:rsidTr="00701C73">
        <w:tc>
          <w:tcPr>
            <w:tcW w:w="675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 xml:space="preserve">                     8</w:t>
            </w:r>
          </w:p>
        </w:tc>
        <w:tc>
          <w:tcPr>
            <w:tcW w:w="2410" w:type="dxa"/>
          </w:tcPr>
          <w:p w:rsidR="00FE19E5" w:rsidRPr="00FE19E5" w:rsidRDefault="00FE19E5" w:rsidP="00701C73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3 602,5</w:t>
            </w:r>
          </w:p>
        </w:tc>
      </w:tr>
      <w:tr w:rsidR="00FE19E5" w:rsidRPr="00FE19E5" w:rsidTr="00701C73">
        <w:trPr>
          <w:trHeight w:val="379"/>
        </w:trPr>
        <w:tc>
          <w:tcPr>
            <w:tcW w:w="675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E19E5" w:rsidRPr="00FE19E5" w:rsidRDefault="00FE19E5" w:rsidP="00701C73">
            <w:pPr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9E5">
              <w:rPr>
                <w:rFonts w:ascii="Arial" w:hAnsi="Arial" w:cs="Arial"/>
                <w:sz w:val="16"/>
                <w:szCs w:val="16"/>
              </w:rPr>
              <w:t>240,9</w:t>
            </w:r>
          </w:p>
        </w:tc>
      </w:tr>
      <w:tr w:rsidR="00FE19E5" w:rsidRPr="00FE19E5" w:rsidTr="00701C73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МКУК «</w:t>
            </w:r>
            <w:proofErr w:type="spellStart"/>
            <w:r w:rsidRPr="00FE19E5">
              <w:rPr>
                <w:rFonts w:ascii="Arial" w:hAnsi="Arial" w:cs="Arial"/>
                <w:b/>
                <w:sz w:val="16"/>
                <w:szCs w:val="16"/>
              </w:rPr>
              <w:t>Бесскорбненский</w:t>
            </w:r>
            <w:proofErr w:type="spellEnd"/>
            <w:r w:rsidRPr="00FE19E5">
              <w:rPr>
                <w:rFonts w:ascii="Arial" w:hAnsi="Arial" w:cs="Arial"/>
                <w:b/>
                <w:sz w:val="16"/>
                <w:szCs w:val="16"/>
              </w:rPr>
              <w:t xml:space="preserve">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4 438,9</w:t>
            </w:r>
          </w:p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9E5" w:rsidRPr="00FE19E5" w:rsidTr="00701C73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19E5" w:rsidRPr="00FE19E5" w:rsidRDefault="00FE19E5" w:rsidP="00701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19E5" w:rsidRPr="00FE19E5" w:rsidRDefault="00FE19E5" w:rsidP="00701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9E5">
              <w:rPr>
                <w:rFonts w:ascii="Arial" w:hAnsi="Arial" w:cs="Arial"/>
                <w:b/>
                <w:sz w:val="16"/>
                <w:szCs w:val="16"/>
              </w:rPr>
              <w:t xml:space="preserve"> 2 753,1</w:t>
            </w:r>
          </w:p>
        </w:tc>
      </w:tr>
    </w:tbl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  <w:r w:rsidRPr="00FE19E5">
        <w:rPr>
          <w:rFonts w:ascii="Arial" w:hAnsi="Arial" w:cs="Arial"/>
          <w:sz w:val="16"/>
          <w:szCs w:val="16"/>
        </w:rPr>
        <w:t>Главный специалист</w:t>
      </w: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  <w:proofErr w:type="spellStart"/>
      <w:r w:rsidRPr="00FE19E5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 сельского поселения</w:t>
      </w:r>
    </w:p>
    <w:p w:rsidR="00FE19E5" w:rsidRPr="00FE19E5" w:rsidRDefault="00FE19E5" w:rsidP="00FE19E5">
      <w:pPr>
        <w:rPr>
          <w:rFonts w:ascii="Arial" w:hAnsi="Arial" w:cs="Arial"/>
          <w:sz w:val="16"/>
          <w:szCs w:val="16"/>
        </w:rPr>
      </w:pPr>
      <w:proofErr w:type="spellStart"/>
      <w:r w:rsidRPr="00FE19E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19E5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Н.Н.Мягкова</w:t>
      </w: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FE19E5" w:rsidRDefault="00FE19E5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5416B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5416BF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FE19E5">
              <w:rPr>
                <w:rFonts w:ascii="Arial" w:hAnsi="Arial" w:cs="Arial"/>
                <w:sz w:val="16"/>
                <w:szCs w:val="16"/>
              </w:rPr>
              <w:t>03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9E5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F32C14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FE19E5">
              <w:rPr>
                <w:rFonts w:ascii="Arial" w:hAnsi="Arial" w:cs="Arial"/>
                <w:sz w:val="16"/>
                <w:szCs w:val="16"/>
              </w:rPr>
              <w:t xml:space="preserve"> 04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E19E5">
              <w:rPr>
                <w:rFonts w:ascii="Arial" w:hAnsi="Arial" w:cs="Arial"/>
                <w:sz w:val="16"/>
                <w:szCs w:val="16"/>
              </w:rPr>
              <w:t>10</w:t>
            </w:r>
            <w:r w:rsidR="00F32C14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40" w:rsidRDefault="000D1040">
      <w:r>
        <w:separator/>
      </w:r>
    </w:p>
  </w:endnote>
  <w:endnote w:type="continuationSeparator" w:id="0">
    <w:p w:rsidR="000D1040" w:rsidRDefault="000D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833C84">
        <w:pPr>
          <w:pStyle w:val="af5"/>
          <w:jc w:val="right"/>
        </w:pPr>
        <w:fldSimple w:instr=" PAGE   \* MERGEFORMAT ">
          <w:r w:rsidR="00FE19E5">
            <w:rPr>
              <w:noProof/>
            </w:rPr>
            <w:t>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40" w:rsidRDefault="000D1040">
      <w:r>
        <w:separator/>
      </w:r>
    </w:p>
  </w:footnote>
  <w:footnote w:type="continuationSeparator" w:id="0">
    <w:p w:rsidR="000D1040" w:rsidRDefault="000D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833C8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D1040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172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416BF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3C84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7157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19E5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7FD3-688B-4E40-8DB9-AD65DC38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8513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2023-10-04T08:33:00Z</dcterms:created>
  <dcterms:modified xsi:type="dcterms:W3CDTF">2023-10-04T08:33:00Z</dcterms:modified>
</cp:coreProperties>
</file>