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076">
              <w:rPr>
                <w:rFonts w:ascii="Arial" w:hAnsi="Arial" w:cs="Arial"/>
                <w:sz w:val="20"/>
                <w:szCs w:val="20"/>
              </w:rPr>
              <w:t>14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1D9">
              <w:rPr>
                <w:rFonts w:ascii="Arial" w:hAnsi="Arial" w:cs="Arial"/>
                <w:sz w:val="20"/>
                <w:szCs w:val="20"/>
              </w:rPr>
              <w:t xml:space="preserve"> от 05</w:t>
            </w:r>
            <w:r w:rsidR="009D7C8A">
              <w:rPr>
                <w:rFonts w:ascii="Arial" w:hAnsi="Arial" w:cs="Arial"/>
                <w:sz w:val="20"/>
                <w:szCs w:val="20"/>
              </w:rPr>
              <w:t>.07</w:t>
            </w:r>
            <w:r w:rsidR="00E441D9">
              <w:rPr>
                <w:rFonts w:ascii="Arial" w:hAnsi="Arial" w:cs="Arial"/>
                <w:sz w:val="20"/>
                <w:szCs w:val="20"/>
              </w:rPr>
              <w:t>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E441D9">
              <w:rPr>
                <w:rFonts w:ascii="Arial" w:hAnsi="Arial" w:cs="Arial"/>
                <w:sz w:val="16"/>
                <w:szCs w:val="16"/>
              </w:rPr>
              <w:t xml:space="preserve"> 02.07.2021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441D9">
              <w:rPr>
                <w:rFonts w:ascii="Arial" w:hAnsi="Arial" w:cs="Arial"/>
                <w:sz w:val="16"/>
                <w:szCs w:val="16"/>
              </w:rPr>
              <w:t>54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за  1 полугодие 2021 года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</w:p>
    <w:p w:rsidR="00E441D9" w:rsidRPr="00E441D9" w:rsidRDefault="00E441D9" w:rsidP="00E441D9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E441D9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441D9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E441D9">
        <w:rPr>
          <w:rFonts w:ascii="Arial" w:hAnsi="Arial" w:cs="Arial"/>
          <w:sz w:val="16"/>
          <w:szCs w:val="16"/>
        </w:rPr>
        <w:t>н</w:t>
      </w:r>
      <w:proofErr w:type="spellEnd"/>
      <w:r w:rsidRPr="00E441D9">
        <w:rPr>
          <w:rFonts w:ascii="Arial" w:hAnsi="Arial" w:cs="Arial"/>
          <w:sz w:val="16"/>
          <w:szCs w:val="16"/>
        </w:rPr>
        <w:t xml:space="preserve"> о в л я ю:</w:t>
      </w:r>
    </w:p>
    <w:p w:rsidR="00E441D9" w:rsidRPr="00E441D9" w:rsidRDefault="00E441D9" w:rsidP="00E441D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E441D9">
        <w:rPr>
          <w:rFonts w:ascii="Arial" w:hAnsi="Arial" w:cs="Arial"/>
          <w:sz w:val="16"/>
          <w:szCs w:val="16"/>
        </w:rPr>
        <w:t xml:space="preserve">Утвердить Отчет об исполнении бюджета Бесскорбненского сельского поселения Новокубанского района за 1 полугодие 2021 года по доходам в сумме   12 435,2 (двенадцать миллионов четыреста тридцать пять тысяч двести) рублей, по расходам 12 371,5 (двенадцать миллионов  триста семьдесят одна тысяча пятьсот) рублей, </w:t>
      </w:r>
      <w:proofErr w:type="spellStart"/>
      <w:r w:rsidRPr="00E441D9">
        <w:rPr>
          <w:rFonts w:ascii="Arial" w:hAnsi="Arial" w:cs="Arial"/>
          <w:sz w:val="16"/>
          <w:szCs w:val="16"/>
        </w:rPr>
        <w:t>профицит</w:t>
      </w:r>
      <w:proofErr w:type="spellEnd"/>
      <w:r w:rsidRPr="00E441D9">
        <w:rPr>
          <w:rFonts w:ascii="Arial" w:hAnsi="Arial" w:cs="Arial"/>
          <w:sz w:val="16"/>
          <w:szCs w:val="16"/>
        </w:rPr>
        <w:t xml:space="preserve"> бюджета 63,7 (шестьдесят три тысячи семьсот) рублей согласно приложению № 1.</w:t>
      </w:r>
      <w:proofErr w:type="gramEnd"/>
    </w:p>
    <w:p w:rsidR="00E441D9" w:rsidRPr="00E441D9" w:rsidRDefault="00E441D9" w:rsidP="00E441D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полугодие 2021 года согласно приложению № 2.</w:t>
      </w:r>
    </w:p>
    <w:p w:rsidR="00E441D9" w:rsidRPr="00E441D9" w:rsidRDefault="00E441D9" w:rsidP="00E441D9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полугодие 2021 года согласно приложению № 3.</w:t>
      </w:r>
    </w:p>
    <w:p w:rsidR="00E441D9" w:rsidRPr="00E441D9" w:rsidRDefault="00E441D9" w:rsidP="00E441D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полугодие 2021 года направить в Совет Бесскорбненского сельского поселения Новокубанского района.</w:t>
      </w:r>
    </w:p>
    <w:p w:rsidR="00E441D9" w:rsidRPr="00E441D9" w:rsidRDefault="00E441D9" w:rsidP="00E441D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E441D9">
        <w:rPr>
          <w:rFonts w:ascii="Arial" w:hAnsi="Arial" w:cs="Arial"/>
          <w:sz w:val="16"/>
          <w:szCs w:val="16"/>
        </w:rPr>
        <w:t>Контроль за</w:t>
      </w:r>
      <w:proofErr w:type="gramEnd"/>
      <w:r w:rsidRPr="00E441D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Бесскорбненского сельского поселения Новокубанского района (Мягкову Н.Н.)</w:t>
      </w:r>
    </w:p>
    <w:p w:rsidR="00E441D9" w:rsidRPr="00E441D9" w:rsidRDefault="00E441D9" w:rsidP="00E441D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441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669CB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E441D9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41D9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02.07.2021 г. № 54  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       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ОТЧЕТ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за 1 полугодие 2021 года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145"/>
        <w:gridCol w:w="1275"/>
        <w:gridCol w:w="1135"/>
        <w:gridCol w:w="1026"/>
        <w:gridCol w:w="1134"/>
      </w:tblGrid>
      <w:tr w:rsidR="00E441D9" w:rsidRPr="00E441D9" w:rsidTr="00E441D9">
        <w:trPr>
          <w:trHeight w:val="1259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026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E441D9" w:rsidRPr="00E441D9" w:rsidTr="00E441D9">
        <w:trPr>
          <w:trHeight w:val="257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25 049,1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9 705,7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15 343,4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38,8</w:t>
            </w:r>
          </w:p>
        </w:tc>
      </w:tr>
      <w:tr w:rsidR="00E441D9" w:rsidRPr="00E441D9" w:rsidTr="00E441D9">
        <w:trPr>
          <w:trHeight w:val="187"/>
        </w:trPr>
        <w:tc>
          <w:tcPr>
            <w:tcW w:w="1951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6 000,0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2 617,6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3 382,4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E441D9" w:rsidRPr="00E441D9" w:rsidTr="00E441D9">
        <w:trPr>
          <w:trHeight w:val="589"/>
        </w:trPr>
        <w:tc>
          <w:tcPr>
            <w:tcW w:w="1951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7 118,1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3 419,6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3 698,5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E441D9" w:rsidRPr="00E441D9" w:rsidTr="00E441D9">
        <w:trPr>
          <w:trHeight w:val="359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557,3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    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E441D9" w:rsidRPr="00E441D9" w:rsidTr="00E441D9">
        <w:trPr>
          <w:trHeight w:val="327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11 200,0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2 955,4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8 244,6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  <w:tr w:rsidR="00E441D9" w:rsidRPr="00E441D9" w:rsidTr="00E441D9">
        <w:trPr>
          <w:trHeight w:val="365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281,3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518,7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</w:tr>
      <w:tr w:rsidR="00E441D9" w:rsidRPr="00E441D9" w:rsidTr="00E441D9">
        <w:trPr>
          <w:trHeight w:val="135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10 400,0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2 674,1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7 725,9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E441D9" w:rsidRPr="00E441D9" w:rsidTr="00E441D9">
        <w:trPr>
          <w:trHeight w:val="580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E441D9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E441D9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E441D9" w:rsidRPr="00E441D9" w:rsidTr="00E441D9">
        <w:trPr>
          <w:trHeight w:val="228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E441D9" w:rsidRPr="00E441D9" w:rsidTr="00E441D9">
        <w:trPr>
          <w:trHeight w:val="447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E441D9" w:rsidRPr="00E441D9" w:rsidTr="00E441D9">
        <w:trPr>
          <w:trHeight w:val="147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4 910,4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2 729,5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2 180,9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55,6</w:t>
            </w:r>
          </w:p>
        </w:tc>
      </w:tr>
      <w:tr w:rsidR="00E441D9" w:rsidRPr="00E441D9" w:rsidTr="00E441D9">
        <w:trPr>
          <w:trHeight w:val="522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4 910,4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2 729,5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2 180,9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E441D9" w:rsidRPr="00E441D9" w:rsidTr="00E441D9">
        <w:trPr>
          <w:trHeight w:val="840"/>
        </w:trPr>
        <w:tc>
          <w:tcPr>
            <w:tcW w:w="1951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4 130,2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2 066,8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2 063,4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441D9" w:rsidRPr="00E441D9" w:rsidTr="00E441D9">
        <w:trPr>
          <w:trHeight w:val="244"/>
        </w:trPr>
        <w:tc>
          <w:tcPr>
            <w:tcW w:w="1951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41D9" w:rsidRPr="00E441D9" w:rsidTr="00E441D9">
        <w:trPr>
          <w:trHeight w:val="147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E441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E441D9" w:rsidRPr="00E441D9" w:rsidTr="00E441D9">
        <w:trPr>
          <w:trHeight w:val="455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E441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41D9" w:rsidRPr="00E441D9" w:rsidTr="00E441D9">
        <w:trPr>
          <w:trHeight w:val="404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29 959,5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12 435,2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17 524,3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41,5</w:t>
            </w:r>
          </w:p>
        </w:tc>
      </w:tr>
      <w:tr w:rsidR="00E441D9" w:rsidRPr="00E441D9" w:rsidTr="00E441D9">
        <w:trPr>
          <w:trHeight w:val="345"/>
        </w:trPr>
        <w:tc>
          <w:tcPr>
            <w:tcW w:w="1951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1D9" w:rsidRPr="00E441D9" w:rsidTr="00E441D9">
        <w:trPr>
          <w:trHeight w:val="144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506,4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359,0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</w:tr>
      <w:tr w:rsidR="00E441D9" w:rsidRPr="00E441D9" w:rsidTr="00E441D9">
        <w:trPr>
          <w:trHeight w:val="144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4 646,8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2 183,2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2 463,6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E441D9" w:rsidRPr="00E441D9" w:rsidTr="00E441D9">
        <w:trPr>
          <w:trHeight w:val="583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41D9" w:rsidRPr="00E441D9" w:rsidTr="00E441D9">
        <w:trPr>
          <w:trHeight w:val="280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455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5 386,5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2 740,4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2 646,1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E441D9" w:rsidRPr="00E441D9" w:rsidTr="00E441D9">
        <w:trPr>
          <w:trHeight w:val="144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D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E441D9" w:rsidRPr="00E441D9" w:rsidTr="00E441D9">
        <w:trPr>
          <w:trHeight w:val="800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189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1 188,5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5 998,2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E441D9" w:rsidRPr="00E441D9" w:rsidTr="00E441D9">
        <w:trPr>
          <w:trHeight w:val="337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   110,0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36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4 121,5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1 674,8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2 446,7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E441D9" w:rsidRPr="00E441D9" w:rsidTr="00E441D9">
        <w:trPr>
          <w:trHeight w:val="335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274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3 868,9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3 775,1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</w:tr>
      <w:tr w:rsidR="00E441D9" w:rsidRPr="00E441D9" w:rsidTr="00E441D9">
        <w:trPr>
          <w:trHeight w:val="265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D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E441D9" w:rsidRPr="00E441D9" w:rsidTr="00E441D9">
        <w:trPr>
          <w:trHeight w:val="413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283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1D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90"/>
        </w:trPr>
        <w:tc>
          <w:tcPr>
            <w:tcW w:w="1951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441D9" w:rsidRPr="00E441D9" w:rsidTr="00E441D9">
        <w:trPr>
          <w:trHeight w:val="209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vAlign w:val="center"/>
          </w:tcPr>
          <w:p w:rsidR="00E441D9" w:rsidRPr="00E441D9" w:rsidRDefault="00E441D9" w:rsidP="00F21C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30 611,3</w:t>
            </w:r>
          </w:p>
        </w:tc>
        <w:tc>
          <w:tcPr>
            <w:tcW w:w="1135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12 371,5</w:t>
            </w:r>
          </w:p>
        </w:tc>
        <w:tc>
          <w:tcPr>
            <w:tcW w:w="1026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18 239,8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40,4</w:t>
            </w:r>
          </w:p>
        </w:tc>
      </w:tr>
      <w:tr w:rsidR="00E441D9" w:rsidRPr="00E441D9" w:rsidTr="00E441D9">
        <w:trPr>
          <w:trHeight w:val="254"/>
        </w:trPr>
        <w:tc>
          <w:tcPr>
            <w:tcW w:w="1951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E441D9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E441D9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E441D9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- 651,8</w:t>
            </w:r>
          </w:p>
        </w:tc>
        <w:tc>
          <w:tcPr>
            <w:tcW w:w="113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63,7</w:t>
            </w:r>
          </w:p>
        </w:tc>
        <w:tc>
          <w:tcPr>
            <w:tcW w:w="1026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A669CB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Н.Н.Мягкова      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Приложение № 2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от  02.07.2021 г.  № 54</w:t>
      </w:r>
    </w:p>
    <w:p w:rsidR="00E441D9" w:rsidRPr="00E441D9" w:rsidRDefault="00E441D9" w:rsidP="00E441D9">
      <w:pPr>
        <w:rPr>
          <w:rFonts w:ascii="Arial" w:hAnsi="Arial" w:cs="Arial"/>
          <w:b/>
          <w:sz w:val="16"/>
          <w:szCs w:val="16"/>
        </w:rPr>
      </w:pP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за 1 полугодие 2021 года</w:t>
      </w:r>
    </w:p>
    <w:p w:rsidR="00E441D9" w:rsidRPr="00E441D9" w:rsidRDefault="00E441D9" w:rsidP="00E441D9">
      <w:pPr>
        <w:rPr>
          <w:rFonts w:ascii="Arial" w:hAnsi="Arial" w:cs="Arial"/>
          <w:b/>
          <w:sz w:val="16"/>
          <w:szCs w:val="16"/>
        </w:rPr>
      </w:pP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19.11.2020 г. № 14/105 «О бюджете Бесскорбненского сельского поселения Новокубанского района на 2021 год» предусмотрены средства резервного фонда в сумме 100,0 тыс. рублей.</w:t>
      </w:r>
    </w:p>
    <w:p w:rsidR="00E441D9" w:rsidRPr="00E441D9" w:rsidRDefault="00E441D9" w:rsidP="00E441D9">
      <w:pPr>
        <w:ind w:right="971"/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>Из  резервного фонда за 1 полугодие 2021 года расходы не производились.</w:t>
      </w:r>
    </w:p>
    <w:p w:rsidR="00E441D9" w:rsidRPr="00E441D9" w:rsidRDefault="00E441D9" w:rsidP="00E441D9">
      <w:pPr>
        <w:rPr>
          <w:rFonts w:ascii="Arial" w:hAnsi="Arial" w:cs="Arial"/>
          <w:b/>
          <w:sz w:val="16"/>
          <w:szCs w:val="16"/>
        </w:rPr>
      </w:pP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E441D9" w:rsidRPr="00E441D9" w:rsidRDefault="00E441D9" w:rsidP="00E441D9">
      <w:pPr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E441D9">
        <w:rPr>
          <w:rFonts w:ascii="Arial" w:hAnsi="Arial" w:cs="Arial"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ab/>
      </w:r>
      <w:r w:rsidRPr="00E441D9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Новокубанского района</w:t>
      </w:r>
    </w:p>
    <w:p w:rsidR="00E441D9" w:rsidRPr="00E441D9" w:rsidRDefault="00E441D9" w:rsidP="00E441D9">
      <w:pPr>
        <w:ind w:left="5670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от  02.07.2021 г.  № 54</w:t>
      </w:r>
    </w:p>
    <w:p w:rsidR="00E441D9" w:rsidRPr="00E441D9" w:rsidRDefault="00E441D9" w:rsidP="00E441D9">
      <w:pPr>
        <w:rPr>
          <w:rFonts w:ascii="Arial" w:hAnsi="Arial" w:cs="Arial"/>
          <w:b/>
          <w:sz w:val="16"/>
          <w:szCs w:val="16"/>
        </w:rPr>
      </w:pP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E441D9" w:rsidRPr="00E441D9" w:rsidRDefault="00E441D9" w:rsidP="00E441D9">
      <w:pPr>
        <w:jc w:val="center"/>
        <w:rPr>
          <w:rFonts w:ascii="Arial" w:hAnsi="Arial" w:cs="Arial"/>
          <w:b/>
          <w:sz w:val="16"/>
          <w:szCs w:val="16"/>
        </w:rPr>
      </w:pPr>
      <w:r w:rsidRPr="00E441D9">
        <w:rPr>
          <w:rFonts w:ascii="Arial" w:hAnsi="Arial" w:cs="Arial"/>
          <w:b/>
          <w:sz w:val="16"/>
          <w:szCs w:val="16"/>
        </w:rPr>
        <w:t>за 1 полугодие 2021 года</w:t>
      </w:r>
    </w:p>
    <w:p w:rsidR="00E441D9" w:rsidRPr="00E441D9" w:rsidRDefault="00E441D9" w:rsidP="00E441D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E441D9" w:rsidRPr="00E441D9" w:rsidTr="00F21CED">
        <w:tc>
          <w:tcPr>
            <w:tcW w:w="67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41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441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441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E441D9" w:rsidRPr="00E441D9" w:rsidTr="00F21CED">
        <w:tc>
          <w:tcPr>
            <w:tcW w:w="675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1 979,9</w:t>
            </w:r>
          </w:p>
        </w:tc>
      </w:tr>
      <w:tr w:rsidR="00E441D9" w:rsidRPr="00E441D9" w:rsidTr="00F21CED">
        <w:tc>
          <w:tcPr>
            <w:tcW w:w="67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 xml:space="preserve">                   7,5</w:t>
            </w:r>
          </w:p>
        </w:tc>
        <w:tc>
          <w:tcPr>
            <w:tcW w:w="2410" w:type="dxa"/>
          </w:tcPr>
          <w:p w:rsidR="00E441D9" w:rsidRPr="00E441D9" w:rsidRDefault="00E441D9" w:rsidP="00F21CED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1 762,9</w:t>
            </w:r>
          </w:p>
        </w:tc>
      </w:tr>
      <w:tr w:rsidR="00E441D9" w:rsidRPr="00E441D9" w:rsidTr="00F21CED">
        <w:trPr>
          <w:trHeight w:val="379"/>
        </w:trPr>
        <w:tc>
          <w:tcPr>
            <w:tcW w:w="675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E441D9" w:rsidRPr="00E441D9" w:rsidRDefault="00E441D9" w:rsidP="00F21CED">
            <w:pPr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1D9">
              <w:rPr>
                <w:rFonts w:ascii="Arial" w:hAnsi="Arial" w:cs="Arial"/>
                <w:sz w:val="16"/>
                <w:szCs w:val="16"/>
              </w:rPr>
              <w:t>217,0</w:t>
            </w:r>
          </w:p>
        </w:tc>
      </w:tr>
      <w:tr w:rsidR="00E441D9" w:rsidRPr="00E441D9" w:rsidTr="00F21CED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2 983,8</w:t>
            </w:r>
          </w:p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1D9" w:rsidRPr="00E441D9" w:rsidTr="00F21CED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441D9" w:rsidRPr="00E441D9" w:rsidRDefault="00E441D9" w:rsidP="00F21C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41D9" w:rsidRPr="00E441D9" w:rsidRDefault="00E441D9" w:rsidP="00F21C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1D9">
              <w:rPr>
                <w:rFonts w:ascii="Arial" w:hAnsi="Arial" w:cs="Arial"/>
                <w:b/>
                <w:sz w:val="16"/>
                <w:szCs w:val="16"/>
              </w:rPr>
              <w:t>1 605,7</w:t>
            </w:r>
          </w:p>
        </w:tc>
      </w:tr>
    </w:tbl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Главный специалист</w:t>
      </w: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E441D9" w:rsidRPr="00E441D9" w:rsidRDefault="00E441D9" w:rsidP="00E441D9">
      <w:pPr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256076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A669CB">
              <w:rPr>
                <w:rFonts w:ascii="Arial" w:hAnsi="Arial" w:cs="Arial"/>
                <w:sz w:val="16"/>
                <w:szCs w:val="16"/>
              </w:rPr>
              <w:t xml:space="preserve">июля </w:t>
            </w:r>
            <w:r w:rsidR="00E441D9">
              <w:rPr>
                <w:rFonts w:ascii="Arial" w:hAnsi="Arial" w:cs="Arial"/>
                <w:sz w:val="16"/>
                <w:szCs w:val="16"/>
              </w:rPr>
              <w:t>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441D9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E441D9">
              <w:rPr>
                <w:rFonts w:ascii="Arial" w:hAnsi="Arial" w:cs="Arial"/>
                <w:sz w:val="16"/>
                <w:szCs w:val="16"/>
              </w:rPr>
              <w:t>07.2021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05" w:rsidRDefault="005B6D05">
      <w:r>
        <w:separator/>
      </w:r>
    </w:p>
  </w:endnote>
  <w:endnote w:type="continuationSeparator" w:id="0">
    <w:p w:rsidR="005B6D05" w:rsidRDefault="005B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EE45DB">
        <w:pPr>
          <w:pStyle w:val="af5"/>
          <w:jc w:val="right"/>
        </w:pPr>
        <w:fldSimple w:instr=" PAGE   \* MERGEFORMAT ">
          <w:r w:rsidR="00256076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05" w:rsidRDefault="005B6D05">
      <w:r>
        <w:separator/>
      </w:r>
    </w:p>
  </w:footnote>
  <w:footnote w:type="continuationSeparator" w:id="0">
    <w:p w:rsidR="005B6D05" w:rsidRDefault="005B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EE45D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56076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26F9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B6D05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6B4A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2870"/>
    <w:rsid w:val="00DF0F96"/>
    <w:rsid w:val="00DF287F"/>
    <w:rsid w:val="00E01BE9"/>
    <w:rsid w:val="00E248F8"/>
    <w:rsid w:val="00E26D05"/>
    <w:rsid w:val="00E441D9"/>
    <w:rsid w:val="00E66BEF"/>
    <w:rsid w:val="00E7087E"/>
    <w:rsid w:val="00E95A9F"/>
    <w:rsid w:val="00EA037E"/>
    <w:rsid w:val="00EA7185"/>
    <w:rsid w:val="00EB3DC5"/>
    <w:rsid w:val="00EC7D2E"/>
    <w:rsid w:val="00EE45DB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72AA-47D6-4ED4-9BD6-1AFF698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8399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2021-07-07T07:25:00Z</dcterms:created>
  <dcterms:modified xsi:type="dcterms:W3CDTF">2021-07-07T07:25:00Z</dcterms:modified>
</cp:coreProperties>
</file>